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590ED2" w:rsidRPr="00590ED2">
        <w:rPr>
          <w:rFonts w:cs="Arial"/>
          <w:sz w:val="28"/>
          <w:szCs w:val="28"/>
        </w:rPr>
        <w:t>Trapezvariation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5"/>
        <w:gridCol w:w="6597"/>
      </w:tblGrid>
      <w:tr w:rsidR="00590ED2" w:rsidTr="00590ED2">
        <w:tc>
          <w:tcPr>
            <w:tcW w:w="2465" w:type="dxa"/>
            <w:tcBorders>
              <w:top w:val="single" w:sz="4" w:space="0" w:color="auto"/>
              <w:left w:val="single" w:sz="4" w:space="0" w:color="auto"/>
              <w:bottom w:val="dotted" w:sz="4" w:space="0" w:color="auto"/>
              <w:right w:val="dotted" w:sz="4" w:space="0" w:color="auto"/>
            </w:tcBorders>
            <w:vAlign w:val="center"/>
            <w:hideMark/>
          </w:tcPr>
          <w:p w:rsidR="00590ED2" w:rsidRDefault="00590ED2">
            <w:pPr>
              <w:pStyle w:val="IQB-Merkmal"/>
              <w:rPr>
                <w:rFonts w:cs="Arial"/>
              </w:rPr>
            </w:pPr>
            <w:r>
              <w:rPr>
                <w:rFonts w:cs="Arial"/>
              </w:rPr>
              <w:t>Leitidee</w:t>
            </w:r>
          </w:p>
        </w:tc>
        <w:tc>
          <w:tcPr>
            <w:tcW w:w="6597" w:type="dxa"/>
            <w:tcBorders>
              <w:top w:val="single" w:sz="4" w:space="0" w:color="auto"/>
              <w:left w:val="dotted" w:sz="4" w:space="0" w:color="auto"/>
              <w:bottom w:val="dotted" w:sz="4" w:space="0" w:color="auto"/>
              <w:right w:val="single" w:sz="4" w:space="0" w:color="auto"/>
            </w:tcBorders>
            <w:hideMark/>
          </w:tcPr>
          <w:p w:rsidR="00590ED2" w:rsidRDefault="00590ED2">
            <w:pPr>
              <w:pStyle w:val="IQB-Merkmalswert"/>
              <w:rPr>
                <w:rFonts w:cs="Arial"/>
              </w:rPr>
            </w:pPr>
            <w:r>
              <w:rPr>
                <w:rFonts w:cs="Arial"/>
              </w:rPr>
              <w:t>4. Funktionaler Zusammenhang</w:t>
            </w:r>
          </w:p>
        </w:tc>
      </w:tr>
      <w:tr w:rsidR="00590ED2" w:rsidTr="00590ED2">
        <w:tc>
          <w:tcPr>
            <w:tcW w:w="2465" w:type="dxa"/>
            <w:tcBorders>
              <w:top w:val="dotted" w:sz="4" w:space="0" w:color="auto"/>
              <w:left w:val="single" w:sz="4" w:space="0" w:color="auto"/>
              <w:bottom w:val="dotted" w:sz="4" w:space="0" w:color="auto"/>
              <w:right w:val="dotted" w:sz="4" w:space="0" w:color="auto"/>
            </w:tcBorders>
            <w:vAlign w:val="center"/>
            <w:hideMark/>
          </w:tcPr>
          <w:p w:rsidR="00590ED2" w:rsidRDefault="00590ED2">
            <w:pPr>
              <w:pStyle w:val="IQB-Merkmal"/>
              <w:rPr>
                <w:rFonts w:cs="Arial"/>
              </w:rPr>
            </w:pPr>
            <w:r>
              <w:rPr>
                <w:rFonts w:cs="Arial"/>
              </w:rPr>
              <w:t>Allgemeine Kompetenzen</w:t>
            </w:r>
          </w:p>
        </w:tc>
        <w:tc>
          <w:tcPr>
            <w:tcW w:w="6597" w:type="dxa"/>
            <w:tcBorders>
              <w:top w:val="dotted" w:sz="4" w:space="0" w:color="auto"/>
              <w:left w:val="dotted" w:sz="4" w:space="0" w:color="auto"/>
              <w:bottom w:val="dotted" w:sz="4" w:space="0" w:color="auto"/>
              <w:right w:val="single" w:sz="4" w:space="0" w:color="auto"/>
            </w:tcBorders>
            <w:hideMark/>
          </w:tcPr>
          <w:p w:rsidR="00590ED2" w:rsidRDefault="00590ED2">
            <w:pPr>
              <w:pStyle w:val="IQB-Merkmalswert"/>
              <w:rPr>
                <w:rFonts w:cs="Arial"/>
              </w:rPr>
            </w:pPr>
            <w:r>
              <w:rPr>
                <w:rFonts w:cs="Arial"/>
              </w:rPr>
              <w:t>Probleme mathematisch lösen (K2)</w:t>
            </w:r>
          </w:p>
          <w:p w:rsidR="00590ED2" w:rsidRDefault="00590ED2">
            <w:pPr>
              <w:pStyle w:val="IQB-Merkmalswert"/>
              <w:rPr>
                <w:rFonts w:cs="Arial"/>
              </w:rPr>
            </w:pPr>
            <w:r>
              <w:rPr>
                <w:rFonts w:cs="Arial"/>
              </w:rPr>
              <w:t>Mit symbolischen, formalen und technischen Elementen der Mathematik umgehen (K5)</w:t>
            </w:r>
          </w:p>
          <w:p w:rsidR="00590ED2" w:rsidRDefault="00590ED2">
            <w:pPr>
              <w:pStyle w:val="IQB-Merkmalswert"/>
              <w:rPr>
                <w:rFonts w:cs="Arial"/>
              </w:rPr>
            </w:pPr>
            <w:r>
              <w:rPr>
                <w:rFonts w:cs="Arial"/>
              </w:rPr>
              <w:t>Mathematisch kommunizieren (K6)</w:t>
            </w:r>
          </w:p>
        </w:tc>
      </w:tr>
      <w:tr w:rsidR="00590ED2" w:rsidTr="00590ED2">
        <w:tc>
          <w:tcPr>
            <w:tcW w:w="2465" w:type="dxa"/>
            <w:tcBorders>
              <w:top w:val="dotted" w:sz="4" w:space="0" w:color="auto"/>
              <w:left w:val="single" w:sz="4" w:space="0" w:color="auto"/>
              <w:bottom w:val="dotted" w:sz="4" w:space="0" w:color="auto"/>
              <w:right w:val="dotted" w:sz="4" w:space="0" w:color="auto"/>
            </w:tcBorders>
            <w:vAlign w:val="center"/>
            <w:hideMark/>
          </w:tcPr>
          <w:p w:rsidR="00590ED2" w:rsidRDefault="00590ED2">
            <w:pPr>
              <w:pStyle w:val="IQB-Merkmal"/>
              <w:rPr>
                <w:rFonts w:cs="Arial"/>
              </w:rPr>
            </w:pPr>
            <w:r>
              <w:rPr>
                <w:rFonts w:cs="Arial"/>
              </w:rPr>
              <w:t>Anforderungsbereich</w:t>
            </w:r>
          </w:p>
        </w:tc>
        <w:tc>
          <w:tcPr>
            <w:tcW w:w="6597" w:type="dxa"/>
            <w:tcBorders>
              <w:top w:val="dotted" w:sz="4" w:space="0" w:color="auto"/>
              <w:left w:val="dotted" w:sz="4" w:space="0" w:color="auto"/>
              <w:bottom w:val="dotted" w:sz="4" w:space="0" w:color="auto"/>
              <w:right w:val="single" w:sz="4" w:space="0" w:color="auto"/>
            </w:tcBorders>
            <w:hideMark/>
          </w:tcPr>
          <w:p w:rsidR="00590ED2" w:rsidRDefault="00590ED2">
            <w:pPr>
              <w:pStyle w:val="IQB-Merkmalswert"/>
              <w:rPr>
                <w:rFonts w:cs="Arial"/>
              </w:rPr>
            </w:pPr>
            <w:r>
              <w:rPr>
                <w:rFonts w:cs="Arial"/>
              </w:rPr>
              <w:t>II</w:t>
            </w:r>
          </w:p>
        </w:tc>
      </w:tr>
      <w:tr w:rsidR="00590ED2" w:rsidTr="00590ED2">
        <w:tc>
          <w:tcPr>
            <w:tcW w:w="2465" w:type="dxa"/>
            <w:tcBorders>
              <w:top w:val="dotted" w:sz="4" w:space="0" w:color="auto"/>
              <w:left w:val="single" w:sz="4" w:space="0" w:color="auto"/>
              <w:bottom w:val="single" w:sz="4" w:space="0" w:color="auto"/>
              <w:right w:val="dotted" w:sz="4" w:space="0" w:color="auto"/>
            </w:tcBorders>
            <w:vAlign w:val="center"/>
            <w:hideMark/>
          </w:tcPr>
          <w:p w:rsidR="00590ED2" w:rsidRDefault="00590ED2">
            <w:pPr>
              <w:pStyle w:val="IQB-Merkmal"/>
              <w:rPr>
                <w:rFonts w:cs="Arial"/>
              </w:rPr>
            </w:pPr>
            <w:r>
              <w:rPr>
                <w:rFonts w:cs="Arial"/>
              </w:rPr>
              <w:t>Kompetenzstufe</w:t>
            </w:r>
          </w:p>
        </w:tc>
        <w:tc>
          <w:tcPr>
            <w:tcW w:w="6597" w:type="dxa"/>
            <w:tcBorders>
              <w:top w:val="dotted" w:sz="4" w:space="0" w:color="auto"/>
              <w:left w:val="dotted" w:sz="4" w:space="0" w:color="auto"/>
              <w:bottom w:val="single" w:sz="4" w:space="0" w:color="auto"/>
              <w:right w:val="single" w:sz="4" w:space="0" w:color="auto"/>
            </w:tcBorders>
            <w:hideMark/>
          </w:tcPr>
          <w:p w:rsidR="00590ED2" w:rsidRDefault="00590ED2">
            <w:pPr>
              <w:pStyle w:val="IQB-Merkmalswert"/>
              <w:rPr>
                <w:rFonts w:cs="Arial"/>
              </w:rPr>
            </w:pPr>
            <w:r>
              <w:rPr>
                <w:rFonts w:cs="Arial"/>
              </w:rPr>
              <w:t>3</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590ED2" w:rsidTr="00590ED2">
        <w:tc>
          <w:tcPr>
            <w:tcW w:w="2466" w:type="dxa"/>
            <w:tcBorders>
              <w:top w:val="single" w:sz="4" w:space="0" w:color="auto"/>
              <w:left w:val="single" w:sz="4" w:space="0" w:color="auto"/>
              <w:bottom w:val="dotted" w:sz="4" w:space="0" w:color="auto"/>
              <w:right w:val="dotted" w:sz="4" w:space="0" w:color="auto"/>
            </w:tcBorders>
            <w:vAlign w:val="center"/>
            <w:hideMark/>
          </w:tcPr>
          <w:p w:rsidR="00590ED2" w:rsidRDefault="00590ED2">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590ED2" w:rsidRDefault="00590ED2">
            <w:pPr>
              <w:pStyle w:val="IQB-Merkmalswert"/>
              <w:rPr>
                <w:rFonts w:cs="Arial"/>
              </w:rPr>
            </w:pPr>
            <w:r>
              <w:rPr>
                <w:rFonts w:cs="Arial"/>
              </w:rPr>
              <w:t>4. Funktionaler Zusammenhang</w:t>
            </w:r>
          </w:p>
        </w:tc>
      </w:tr>
      <w:tr w:rsidR="00590ED2" w:rsidTr="00590ED2">
        <w:tc>
          <w:tcPr>
            <w:tcW w:w="2466" w:type="dxa"/>
            <w:tcBorders>
              <w:top w:val="dotted" w:sz="4" w:space="0" w:color="auto"/>
              <w:left w:val="single" w:sz="4" w:space="0" w:color="auto"/>
              <w:bottom w:val="dotted" w:sz="4" w:space="0" w:color="auto"/>
              <w:right w:val="dotted" w:sz="4" w:space="0" w:color="auto"/>
            </w:tcBorders>
            <w:vAlign w:val="center"/>
            <w:hideMark/>
          </w:tcPr>
          <w:p w:rsidR="00590ED2" w:rsidRDefault="00590ED2">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590ED2" w:rsidRDefault="00590ED2">
            <w:pPr>
              <w:pStyle w:val="IQB-Merkmalswert"/>
              <w:rPr>
                <w:rFonts w:cs="Arial"/>
              </w:rPr>
            </w:pPr>
            <w:r>
              <w:rPr>
                <w:rFonts w:cs="Arial"/>
              </w:rPr>
              <w:t>Mathematisch argumentieren (K1)</w:t>
            </w:r>
          </w:p>
          <w:p w:rsidR="00590ED2" w:rsidRDefault="00590ED2">
            <w:pPr>
              <w:pStyle w:val="IQB-Merkmalswert"/>
              <w:rPr>
                <w:rFonts w:cs="Arial"/>
              </w:rPr>
            </w:pPr>
            <w:r>
              <w:rPr>
                <w:rFonts w:cs="Arial"/>
              </w:rPr>
              <w:t>Probleme mathematisch lösen (K2)</w:t>
            </w:r>
          </w:p>
          <w:p w:rsidR="00590ED2" w:rsidRDefault="00590ED2">
            <w:pPr>
              <w:pStyle w:val="IQB-Merkmalswert"/>
              <w:rPr>
                <w:rFonts w:cs="Arial"/>
              </w:rPr>
            </w:pPr>
            <w:r>
              <w:rPr>
                <w:rFonts w:cs="Arial"/>
              </w:rPr>
              <w:t>Mit symbolischen, formalen und technischen Elementen der Mathematik umgehen (K5)</w:t>
            </w:r>
          </w:p>
        </w:tc>
      </w:tr>
      <w:tr w:rsidR="00590ED2" w:rsidTr="00590ED2">
        <w:tc>
          <w:tcPr>
            <w:tcW w:w="2466" w:type="dxa"/>
            <w:tcBorders>
              <w:top w:val="dotted" w:sz="4" w:space="0" w:color="auto"/>
              <w:left w:val="single" w:sz="4" w:space="0" w:color="auto"/>
              <w:bottom w:val="dotted" w:sz="4" w:space="0" w:color="auto"/>
              <w:right w:val="dotted" w:sz="4" w:space="0" w:color="auto"/>
            </w:tcBorders>
            <w:vAlign w:val="center"/>
            <w:hideMark/>
          </w:tcPr>
          <w:p w:rsidR="00590ED2" w:rsidRDefault="00590ED2">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590ED2" w:rsidRDefault="00590ED2">
            <w:pPr>
              <w:pStyle w:val="IQB-Merkmalswert"/>
              <w:rPr>
                <w:rFonts w:cs="Arial"/>
              </w:rPr>
            </w:pPr>
            <w:r>
              <w:rPr>
                <w:rFonts w:cs="Arial"/>
              </w:rPr>
              <w:t>III</w:t>
            </w:r>
          </w:p>
        </w:tc>
      </w:tr>
      <w:tr w:rsidR="00590ED2" w:rsidTr="00590ED2">
        <w:tc>
          <w:tcPr>
            <w:tcW w:w="2466" w:type="dxa"/>
            <w:tcBorders>
              <w:top w:val="dotted" w:sz="4" w:space="0" w:color="auto"/>
              <w:left w:val="single" w:sz="4" w:space="0" w:color="auto"/>
              <w:bottom w:val="single" w:sz="4" w:space="0" w:color="auto"/>
              <w:right w:val="dotted" w:sz="4" w:space="0" w:color="auto"/>
            </w:tcBorders>
            <w:vAlign w:val="center"/>
            <w:hideMark/>
          </w:tcPr>
          <w:p w:rsidR="00590ED2" w:rsidRDefault="00590ED2">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590ED2" w:rsidRDefault="00590ED2">
            <w:pPr>
              <w:pStyle w:val="IQB-Merkmalswert"/>
              <w:rPr>
                <w:rFonts w:cs="Arial"/>
              </w:rPr>
            </w:pPr>
            <w:r>
              <w:rPr>
                <w:rFonts w:cs="Arial"/>
              </w:rPr>
              <w:t>4</w:t>
            </w:r>
          </w:p>
        </w:tc>
      </w:tr>
    </w:tbl>
    <w:p w:rsidR="00694A63" w:rsidRPr="00694A63" w:rsidRDefault="00694A63" w:rsidP="00694A63">
      <w:pPr>
        <w:pStyle w:val="IQB-Teilaufgabentitel"/>
        <w:rPr>
          <w:b/>
        </w:rPr>
      </w:pPr>
      <w:r w:rsidRPr="00694A63">
        <w:rPr>
          <w:b/>
        </w:rPr>
        <w:t>Aufgabenbezogener Kommentar</w:t>
      </w:r>
    </w:p>
    <w:p w:rsidR="00590ED2" w:rsidRDefault="00590ED2" w:rsidP="00590ED2">
      <w:pPr>
        <w:pStyle w:val="IQB-AnweisungenText"/>
        <w:spacing w:before="0"/>
        <w:rPr>
          <w:rFonts w:ascii="Arial" w:hAnsi="Arial"/>
          <w:sz w:val="22"/>
          <w:szCs w:val="22"/>
        </w:rPr>
      </w:pPr>
      <w:r>
        <w:rPr>
          <w:rFonts w:ascii="Arial" w:hAnsi="Arial"/>
          <w:sz w:val="22"/>
          <w:szCs w:val="22"/>
        </w:rPr>
        <w:t xml:space="preserve">Diese Aufgabe ist der Leitidee </w:t>
      </w:r>
      <w:r>
        <w:rPr>
          <w:rFonts w:ascii="Arial" w:hAnsi="Arial"/>
          <w:i/>
          <w:sz w:val="22"/>
          <w:szCs w:val="22"/>
        </w:rPr>
        <w:t xml:space="preserve">Funktionaler Zusammenhang </w:t>
      </w:r>
      <w:r>
        <w:rPr>
          <w:rFonts w:ascii="Arial" w:hAnsi="Arial"/>
          <w:sz w:val="22"/>
          <w:szCs w:val="22"/>
        </w:rPr>
        <w:t>(L4) zugeordnet, weil sich Schülerinnen und Schüler mit einer Formel und dem Aspekt Größenänderungen befassen.</w:t>
      </w:r>
    </w:p>
    <w:p w:rsidR="00590ED2" w:rsidRDefault="00590ED2" w:rsidP="00590ED2">
      <w:pPr>
        <w:pStyle w:val="IQB-AnweisungenText"/>
        <w:rPr>
          <w:rFonts w:ascii="Arial" w:hAnsi="Arial"/>
          <w:sz w:val="22"/>
          <w:szCs w:val="22"/>
        </w:rPr>
      </w:pPr>
      <w:r>
        <w:rPr>
          <w:rFonts w:ascii="Arial" w:hAnsi="Arial"/>
          <w:sz w:val="22"/>
          <w:szCs w:val="22"/>
        </w:rPr>
        <w:t xml:space="preserve">Die heuristische Strategie „systematisch probieren“ kann in beiden Teilaufgaben auf die Formel angewendet werden, um das Problem mathematisch zu lösen (K2). Außerdem müssen Operationen mit einem Bruchterm ausgeführt werden. Somit spielt auch die Kompetenz </w:t>
      </w:r>
      <w:r>
        <w:rPr>
          <w:rFonts w:ascii="Arial" w:hAnsi="Arial"/>
          <w:i/>
          <w:sz w:val="22"/>
          <w:szCs w:val="22"/>
        </w:rPr>
        <w:t>Mit symbolischen, formalen und technischen Elementen der Mathematik umgehen</w:t>
      </w:r>
      <w:r>
        <w:rPr>
          <w:rFonts w:ascii="Arial" w:hAnsi="Arial"/>
          <w:sz w:val="22"/>
          <w:szCs w:val="22"/>
        </w:rPr>
        <w:t xml:space="preserve"> (K5) eine Rolle.</w:t>
      </w:r>
    </w:p>
    <w:p w:rsidR="00590ED2" w:rsidRDefault="00590ED2" w:rsidP="00590ED2">
      <w:pPr>
        <w:pStyle w:val="IQB-AnweisungenText"/>
        <w:rPr>
          <w:rFonts w:ascii="Arial" w:hAnsi="Arial"/>
          <w:sz w:val="22"/>
          <w:szCs w:val="22"/>
        </w:rPr>
      </w:pPr>
      <w:r>
        <w:rPr>
          <w:rFonts w:ascii="Arial" w:hAnsi="Arial"/>
          <w:sz w:val="22"/>
          <w:szCs w:val="22"/>
        </w:rPr>
        <w:t xml:space="preserve">Weil in Teilaufgabe 1 zunächst Informationen aus dem Text entnommen werden, müssen die Schülerinnen und Schüler </w:t>
      </w:r>
      <w:r>
        <w:rPr>
          <w:rFonts w:ascii="Arial" w:hAnsi="Arial"/>
          <w:i/>
          <w:sz w:val="22"/>
          <w:szCs w:val="22"/>
        </w:rPr>
        <w:t>Mathematisch kommunizieren</w:t>
      </w:r>
      <w:r>
        <w:rPr>
          <w:rFonts w:ascii="Arial" w:hAnsi="Arial"/>
          <w:sz w:val="22"/>
          <w:szCs w:val="22"/>
        </w:rPr>
        <w:t xml:space="preserve"> (K6).</w:t>
      </w:r>
    </w:p>
    <w:p w:rsidR="00590ED2" w:rsidRDefault="00590ED2" w:rsidP="00590ED2">
      <w:pPr>
        <w:pStyle w:val="IQB-AnweisungenText"/>
        <w:rPr>
          <w:rFonts w:ascii="Arial" w:hAnsi="Arial"/>
          <w:sz w:val="22"/>
          <w:szCs w:val="22"/>
        </w:rPr>
      </w:pPr>
      <w:r>
        <w:rPr>
          <w:rFonts w:ascii="Arial" w:hAnsi="Arial"/>
          <w:sz w:val="22"/>
          <w:szCs w:val="22"/>
        </w:rPr>
        <w:t xml:space="preserve">In Teilaufgabe 2 ist zusätzlich die Kompetenz </w:t>
      </w:r>
      <w:r>
        <w:rPr>
          <w:rFonts w:ascii="Arial" w:hAnsi="Arial"/>
          <w:i/>
          <w:sz w:val="22"/>
          <w:szCs w:val="22"/>
        </w:rPr>
        <w:t>Mathematisch argumentieren</w:t>
      </w:r>
      <w:r>
        <w:rPr>
          <w:rFonts w:ascii="Arial" w:hAnsi="Arial"/>
          <w:sz w:val="22"/>
          <w:szCs w:val="22"/>
        </w:rPr>
        <w:t xml:space="preserve"> (K1) erforderlich, da eine eigene adäquate mathematische Argumentation entwickelt werden muss.</w:t>
      </w:r>
    </w:p>
    <w:p w:rsidR="00590ED2" w:rsidRDefault="00590ED2" w:rsidP="00590ED2">
      <w:pPr>
        <w:pStyle w:val="IQB-AnweisungenText"/>
        <w:rPr>
          <w:rFonts w:ascii="Arial" w:hAnsi="Arial"/>
          <w:sz w:val="22"/>
          <w:szCs w:val="22"/>
        </w:rPr>
      </w:pPr>
      <w:r>
        <w:rPr>
          <w:rFonts w:ascii="Arial" w:hAnsi="Arial"/>
          <w:sz w:val="22"/>
          <w:szCs w:val="22"/>
        </w:rPr>
        <w:t>Teilaufgabe 1 ist in den Anforderungsbereich II eingeordnet, da die Schülerinnen und Schüler mit einem Term im Kontext umgehen und eine Äußerung zur Veränderung dieses Terms interpretieren müssen.</w:t>
      </w:r>
    </w:p>
    <w:p w:rsidR="00590ED2" w:rsidRDefault="00590ED2" w:rsidP="00590ED2">
      <w:pPr>
        <w:pStyle w:val="IQB-AnweisungenText"/>
        <w:rPr>
          <w:rFonts w:ascii="Arial" w:hAnsi="Arial"/>
          <w:sz w:val="22"/>
          <w:szCs w:val="22"/>
        </w:rPr>
      </w:pPr>
      <w:r>
        <w:rPr>
          <w:rFonts w:ascii="Arial" w:hAnsi="Arial"/>
          <w:sz w:val="22"/>
          <w:szCs w:val="22"/>
        </w:rPr>
        <w:t>In Teilaufgabe 2 muss ein komplexerer Argumentationsprozess entwickelt werden und somit fällt die Aufgabe in den Anforderungsbereich III.</w:t>
      </w:r>
    </w:p>
    <w:p w:rsidR="00694A63" w:rsidRPr="00694A63" w:rsidRDefault="00694A63" w:rsidP="00694A63">
      <w:pPr>
        <w:pStyle w:val="IQB-Teilaufgabentitel"/>
        <w:rPr>
          <w:b/>
        </w:rPr>
      </w:pPr>
      <w:r w:rsidRPr="00694A63">
        <w:rPr>
          <w:b/>
        </w:rPr>
        <w:t>Anregungen für den Unterricht</w:t>
      </w:r>
    </w:p>
    <w:p w:rsidR="00590ED2" w:rsidRDefault="00590ED2" w:rsidP="00590ED2">
      <w:pPr>
        <w:pStyle w:val="IQB-AnweisungenText"/>
        <w:spacing w:before="0" w:after="120"/>
        <w:rPr>
          <w:rFonts w:ascii="Arial" w:hAnsi="Arial"/>
          <w:sz w:val="22"/>
          <w:szCs w:val="22"/>
        </w:rPr>
      </w:pPr>
      <w:r>
        <w:rPr>
          <w:rFonts w:ascii="Arial" w:hAnsi="Arial"/>
          <w:sz w:val="22"/>
          <w:szCs w:val="22"/>
        </w:rPr>
        <w:t xml:space="preserve">Beide Teilaufgaben zur Aufgabe „Trapezvariation“ können im Unterricht mithilfe einer dynamischen Geometriesoftware (DGS) behandelt werden. Dabei können mithilfe eines Schiebereglers oder mithilfe des </w:t>
      </w:r>
      <w:proofErr w:type="spellStart"/>
      <w:r>
        <w:rPr>
          <w:rFonts w:ascii="Arial" w:hAnsi="Arial"/>
          <w:sz w:val="22"/>
          <w:szCs w:val="22"/>
        </w:rPr>
        <w:t>Zugmodus</w:t>
      </w:r>
      <w:proofErr w:type="spellEnd"/>
      <w:r>
        <w:rPr>
          <w:rFonts w:ascii="Arial" w:hAnsi="Arial"/>
          <w:sz w:val="22"/>
          <w:szCs w:val="22"/>
        </w:rPr>
        <w:t xml:space="preserve"> Seitenlängen eines Trapezes dynamisch verändert werden. Veränderungen am Flächeninhalt infolge veränderter Seitenlängen werden so sofort sichtbar. Als Beispiel für Teilaufgabe 1 soll Abbildung 1 dienen, bei der in der verwendeten DGS-Datei ein Schieberegler für die Höhe des Trapezes erstellt wurde.</w:t>
      </w:r>
    </w:p>
    <w:p w:rsidR="00590ED2" w:rsidRDefault="00590ED2" w:rsidP="00590ED2">
      <w:pPr>
        <w:pStyle w:val="IQB-AnweisungenText"/>
        <w:keepNext/>
        <w:rPr>
          <w:rFonts w:ascii="Arial" w:hAnsi="Arial"/>
          <w:sz w:val="22"/>
          <w:szCs w:val="22"/>
        </w:rPr>
      </w:pPr>
      <w:r>
        <w:rPr>
          <w:rFonts w:ascii="Arial" w:hAnsi="Arial"/>
          <w:noProof/>
          <w:sz w:val="22"/>
          <w:szCs w:val="22"/>
        </w:rPr>
        <w:lastRenderedPageBreak/>
        <w:drawing>
          <wp:inline distT="0" distB="0" distL="0" distR="0">
            <wp:extent cx="3512820" cy="1892300"/>
            <wp:effectExtent l="19050" t="19050" r="11430" b="1270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3512820" cy="1892300"/>
                    </a:xfrm>
                    <a:prstGeom prst="rect">
                      <a:avLst/>
                    </a:prstGeom>
                    <a:noFill/>
                    <a:ln w="6350" cmpd="sng">
                      <a:solidFill>
                        <a:srgbClr val="000000"/>
                      </a:solidFill>
                      <a:miter lim="800000"/>
                      <a:headEnd/>
                      <a:tailEnd/>
                    </a:ln>
                    <a:effectLst/>
                  </pic:spPr>
                </pic:pic>
              </a:graphicData>
            </a:graphic>
          </wp:inline>
        </w:drawing>
      </w:r>
    </w:p>
    <w:p w:rsidR="00590ED2" w:rsidRDefault="00590ED2" w:rsidP="00590ED2">
      <w:pPr>
        <w:pStyle w:val="Beschriftung"/>
        <w:spacing w:before="80" w:after="120"/>
        <w:jc w:val="both"/>
        <w:rPr>
          <w:rFonts w:cs="Arial"/>
          <w:b w:val="0"/>
        </w:rPr>
      </w:pPr>
      <w:r>
        <w:rPr>
          <w:rFonts w:cs="Arial"/>
          <w:b w:val="0"/>
        </w:rPr>
        <w:t>Abbildung 1: Teilaufgabe 1</w:t>
      </w:r>
    </w:p>
    <w:p w:rsidR="00590ED2" w:rsidRDefault="00590ED2" w:rsidP="00590ED2">
      <w:pPr>
        <w:pStyle w:val="IQB-AnweisungenText"/>
        <w:spacing w:after="120"/>
        <w:rPr>
          <w:rFonts w:ascii="Arial" w:hAnsi="Arial"/>
          <w:sz w:val="22"/>
          <w:szCs w:val="22"/>
        </w:rPr>
      </w:pPr>
      <w:r>
        <w:rPr>
          <w:rFonts w:ascii="Arial" w:hAnsi="Arial"/>
          <w:sz w:val="22"/>
          <w:szCs w:val="22"/>
        </w:rPr>
        <w:t>Zur Teilaufgabe 2 (siehe Abbildung 2) wurde eine DGS-Datei erstellt, bei der durch Schieberegler die Seitenlängen a und c des Trapezes variiert werden können.</w:t>
      </w:r>
    </w:p>
    <w:p w:rsidR="00590ED2" w:rsidRDefault="00590ED2" w:rsidP="00590ED2">
      <w:pPr>
        <w:pStyle w:val="IQB-Teilaufgabentitel"/>
        <w:spacing w:before="0"/>
        <w:rPr>
          <w:rFonts w:cs="Arial"/>
          <w:szCs w:val="22"/>
        </w:rPr>
      </w:pPr>
      <w:r>
        <w:rPr>
          <w:rFonts w:cs="Arial"/>
          <w:noProof/>
          <w:szCs w:val="22"/>
        </w:rPr>
        <w:drawing>
          <wp:inline distT="0" distB="0" distL="0" distR="0">
            <wp:extent cx="3150870" cy="1892300"/>
            <wp:effectExtent l="19050" t="19050" r="11430" b="1270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3150870" cy="1892300"/>
                    </a:xfrm>
                    <a:prstGeom prst="rect">
                      <a:avLst/>
                    </a:prstGeom>
                    <a:noFill/>
                    <a:ln w="6350" cmpd="sng">
                      <a:solidFill>
                        <a:srgbClr val="000000"/>
                      </a:solidFill>
                      <a:miter lim="800000"/>
                      <a:headEnd/>
                      <a:tailEnd/>
                    </a:ln>
                    <a:effectLst/>
                  </pic:spPr>
                </pic:pic>
              </a:graphicData>
            </a:graphic>
          </wp:inline>
        </w:drawing>
      </w:r>
    </w:p>
    <w:p w:rsidR="00590ED2" w:rsidRDefault="00590ED2" w:rsidP="00590ED2">
      <w:pPr>
        <w:pStyle w:val="Beschriftung"/>
        <w:spacing w:before="80"/>
        <w:jc w:val="both"/>
        <w:rPr>
          <w:rFonts w:cs="Arial"/>
          <w:b w:val="0"/>
        </w:rPr>
      </w:pPr>
      <w:r>
        <w:rPr>
          <w:rFonts w:cs="Arial"/>
          <w:b w:val="0"/>
        </w:rPr>
        <w:t>Abbildung 2: Teilaufgabe 2</w:t>
      </w:r>
    </w:p>
    <w:p w:rsidR="00590ED2" w:rsidRDefault="00590ED2" w:rsidP="00590ED2">
      <w:pPr>
        <w:pStyle w:val="IQB-AnweisungenText"/>
        <w:rPr>
          <w:rFonts w:ascii="Arial" w:hAnsi="Arial"/>
          <w:sz w:val="22"/>
          <w:szCs w:val="22"/>
        </w:rPr>
      </w:pPr>
      <w:r>
        <w:rPr>
          <w:rFonts w:ascii="Arial" w:hAnsi="Arial"/>
          <w:sz w:val="22"/>
          <w:szCs w:val="22"/>
        </w:rPr>
        <w:t xml:space="preserve">Diese einfachen Beispiele zeigen auf, wie dynamische Geometriesoftware zur Veranschaulichung funktionaler Zusammenhänge genutzt werden kann. </w:t>
      </w:r>
    </w:p>
    <w:p w:rsidR="00590ED2" w:rsidRDefault="00590ED2" w:rsidP="00590ED2">
      <w:pPr>
        <w:pStyle w:val="IQB-AnweisungenText"/>
        <w:rPr>
          <w:rFonts w:ascii="Arial" w:hAnsi="Arial"/>
          <w:sz w:val="22"/>
          <w:szCs w:val="22"/>
        </w:rPr>
      </w:pPr>
      <w:r>
        <w:rPr>
          <w:rFonts w:ascii="Arial" w:hAnsi="Arial"/>
          <w:sz w:val="22"/>
          <w:szCs w:val="22"/>
        </w:rPr>
        <w:t xml:space="preserve">Umfassend werden die Möglichkeiten dynamischer Geometriesoftware im Buch „Mit GeoGebra mehr Mathematik verstehen“ von den Herausgebern Rainer </w:t>
      </w:r>
      <w:proofErr w:type="spellStart"/>
      <w:r>
        <w:rPr>
          <w:rFonts w:ascii="Arial" w:hAnsi="Arial"/>
          <w:sz w:val="22"/>
          <w:szCs w:val="22"/>
        </w:rPr>
        <w:t>Kaenders</w:t>
      </w:r>
      <w:proofErr w:type="spellEnd"/>
      <w:r>
        <w:rPr>
          <w:rFonts w:ascii="Arial" w:hAnsi="Arial"/>
          <w:sz w:val="22"/>
          <w:szCs w:val="22"/>
        </w:rPr>
        <w:t xml:space="preserve"> und Reinhard Schmidt</w:t>
      </w:r>
      <w:r>
        <w:rPr>
          <w:rStyle w:val="Funotenzeichen"/>
          <w:rFonts w:ascii="Arial" w:hAnsi="Arial"/>
          <w:sz w:val="22"/>
          <w:szCs w:val="22"/>
        </w:rPr>
        <w:footnoteReference w:id="1"/>
      </w:r>
      <w:r>
        <w:rPr>
          <w:rFonts w:ascii="Arial" w:hAnsi="Arial"/>
          <w:sz w:val="22"/>
          <w:szCs w:val="22"/>
        </w:rPr>
        <w:t xml:space="preserve"> ausgelotet und anhand konkreter unterrichtlicher Beispiele verdeutlicht. Dabei werden Unterrichtsinhalte der Sekundarstufe I und II betrachtet.</w:t>
      </w:r>
    </w:p>
    <w:p w:rsidR="00694A63" w:rsidRPr="005B2F65" w:rsidRDefault="00694A63" w:rsidP="00590ED2">
      <w:pPr>
        <w:pStyle w:val="IQB-AnweisungenText"/>
        <w:spacing w:before="0" w:after="120"/>
        <w:rPr>
          <w:sz w:val="22"/>
          <w:szCs w:val="22"/>
        </w:rPr>
      </w:pPr>
      <w:bookmarkStart w:id="0" w:name="_GoBack"/>
      <w:bookmarkEnd w:id="0"/>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50599A29-03CD-490D-9B4E-EC5939F4BE29}"/>
    <w:embedBold r:id="rId2" w:fontKey="{5205052E-693B-41B5-8DC2-9D0CAF20215B}"/>
    <w:embedItalic r:id="rId3" w:fontKey="{CBACB1ED-5517-4140-96FC-BF009E7C9108}"/>
    <w:embedBoldItalic r:id="rId4" w:fontKey="{8D6E1CA7-C4F6-4A99-932E-F33AC6DDF55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590ED2" w:rsidRDefault="00590ED2" w:rsidP="00590ED2">
      <w:pPr>
        <w:pStyle w:val="Funotentext"/>
      </w:pPr>
      <w:r>
        <w:rPr>
          <w:rStyle w:val="Funotenzeichen"/>
        </w:rPr>
        <w:footnoteRef/>
      </w:r>
      <w:r>
        <w:t xml:space="preserve"> </w:t>
      </w:r>
      <w:proofErr w:type="spellStart"/>
      <w:r>
        <w:t>Kaenders</w:t>
      </w:r>
      <w:proofErr w:type="spellEnd"/>
      <w:r>
        <w:t xml:space="preserve">, R. &amp; Schmidt, R. (Hrsg.) (2014): </w:t>
      </w:r>
      <w:r>
        <w:rPr>
          <w:i/>
        </w:rPr>
        <w:t>Mit GeoGebra mehr Mathematik verstehen. Beispiele für die Förderung eines tieferen Mathematikverständnisses aus dem GeoGebra Institut Köln/Bonn</w:t>
      </w:r>
      <w:r>
        <w:t>, Heidelberg: Springer Spektrum.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36B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51DE"/>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0ED2"/>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916729">
      <w:bodyDiv w:val="1"/>
      <w:marLeft w:val="0"/>
      <w:marRight w:val="0"/>
      <w:marTop w:val="0"/>
      <w:marBottom w:val="0"/>
      <w:divBdr>
        <w:top w:val="none" w:sz="0" w:space="0" w:color="auto"/>
        <w:left w:val="none" w:sz="0" w:space="0" w:color="auto"/>
        <w:bottom w:val="none" w:sz="0" w:space="0" w:color="auto"/>
        <w:right w:val="none" w:sz="0" w:space="0" w:color="auto"/>
      </w:divBdr>
    </w:div>
    <w:div w:id="213546595">
      <w:bodyDiv w:val="1"/>
      <w:marLeft w:val="0"/>
      <w:marRight w:val="0"/>
      <w:marTop w:val="0"/>
      <w:marBottom w:val="0"/>
      <w:divBdr>
        <w:top w:val="none" w:sz="0" w:space="0" w:color="auto"/>
        <w:left w:val="none" w:sz="0" w:space="0" w:color="auto"/>
        <w:bottom w:val="none" w:sz="0" w:space="0" w:color="auto"/>
        <w:right w:val="none" w:sz="0" w:space="0" w:color="auto"/>
      </w:divBdr>
    </w:div>
    <w:div w:id="1073550499">
      <w:bodyDiv w:val="1"/>
      <w:marLeft w:val="0"/>
      <w:marRight w:val="0"/>
      <w:marTop w:val="0"/>
      <w:marBottom w:val="0"/>
      <w:divBdr>
        <w:top w:val="none" w:sz="0" w:space="0" w:color="auto"/>
        <w:left w:val="none" w:sz="0" w:space="0" w:color="auto"/>
        <w:bottom w:val="none" w:sz="0" w:space="0" w:color="auto"/>
        <w:right w:val="none" w:sz="0" w:space="0" w:color="auto"/>
      </w:divBdr>
    </w:div>
    <w:div w:id="1439252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5ABFC1-12E1-41A8-B9FF-9E392BCAC2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372</Words>
  <Characters>2636</Characters>
  <Application>Microsoft Office Word</Application>
  <DocSecurity>0</DocSecurity>
  <Lines>21</Lines>
  <Paragraphs>6</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2025-07-21T11:10:00Z</dcterms:created>
  <dcterms:modified xsi:type="dcterms:W3CDTF">2025-07-21T11:10:00Z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